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323BD" w14:textId="25BD500B" w:rsidR="006420A9" w:rsidRDefault="009155DC">
      <w:r>
        <w:rPr>
          <w:noProof/>
        </w:rPr>
        <mc:AlternateContent>
          <mc:Choice Requires="wps">
            <w:drawing>
              <wp:anchor distT="0" distB="0" distL="118745" distR="118745" simplePos="0" relativeHeight="251659264" behindDoc="1" locked="0" layoutInCell="1" allowOverlap="0" wp14:anchorId="1F9EE478" wp14:editId="0089E4E4">
                <wp:simplePos x="0" y="0"/>
                <wp:positionH relativeFrom="margin">
                  <wp:align>left</wp:align>
                </wp:positionH>
                <wp:positionV relativeFrom="page">
                  <wp:posOffset>1739900</wp:posOffset>
                </wp:positionV>
                <wp:extent cx="5400040" cy="306070"/>
                <wp:effectExtent l="0" t="0" r="0" b="0"/>
                <wp:wrapSquare wrapText="bothSides"/>
                <wp:docPr id="2" name="Rectángulo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04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EED5CC" w14:textId="77777777" w:rsidR="009155DC" w:rsidRPr="00F82719" w:rsidRDefault="009155DC" w:rsidP="009155DC">
                            <w:pPr>
                              <w:pStyle w:val="NormalWeb"/>
                              <w:jc w:val="center"/>
                              <w:rPr>
                                <w:caps/>
                                <w:color w:val="FFFFFF"/>
                              </w:rPr>
                            </w:pPr>
                            <w:r w:rsidRPr="00F82719">
                              <w:rPr>
                                <w:caps/>
                                <w:color w:val="FFFFFF"/>
                              </w:rPr>
                              <w:t>nota de premsa</w:t>
                            </w:r>
                          </w:p>
                          <w:p w14:paraId="698CD291" w14:textId="77777777" w:rsidR="009155DC" w:rsidRDefault="009155DC" w:rsidP="009155DC">
                            <w:pPr>
                              <w:pStyle w:val="NormalWeb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EE478" id="Rectángulo 197" o:spid="_x0000_s1026" style="position:absolute;margin-left:0;margin-top:137pt;width:425.2pt;height:24.1pt;z-index:-251657216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" o:allowoverlap="f" fillcolor="#7f7f7f [1612]" stroked="f">
                <v:textbox>
                  <w:txbxContent>
                    <w:p w14:paraId="54EED5CC" w14:textId="77777777" w:rsidR="009155DC" w:rsidRPr="00F82719" w:rsidRDefault="009155DC" w:rsidP="009155DC">
                      <w:pPr>
                        <w:pStyle w:val="NormalWeb"/>
                        <w:jc w:val="center"/>
                        <w:rPr>
                          <w:caps/>
                          <w:color w:val="FFFFFF"/>
                        </w:rPr>
                      </w:pPr>
                      <w:r w:rsidRPr="00F82719">
                        <w:rPr>
                          <w:caps/>
                          <w:color w:val="FFFFFF"/>
                        </w:rPr>
                        <w:t>nota de premsa</w:t>
                      </w:r>
                    </w:p>
                    <w:p w14:paraId="698CD291" w14:textId="77777777" w:rsidR="009155DC" w:rsidRDefault="009155DC" w:rsidP="009155DC">
                      <w:pPr>
                        <w:pStyle w:val="NormalWeb"/>
                        <w:jc w:val="center"/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14:paraId="42BFCDA2" w14:textId="77777777" w:rsidR="006B6C04" w:rsidRDefault="006B6C04" w:rsidP="008E272B">
      <w:pPr>
        <w:jc w:val="center"/>
        <w:rPr>
          <w:b/>
          <w:bCs/>
          <w:sz w:val="32"/>
          <w:szCs w:val="32"/>
          <w:lang w:val="ca-ES"/>
        </w:rPr>
      </w:pPr>
    </w:p>
    <w:p w14:paraId="2176DBDA" w14:textId="77777777" w:rsidR="002C0CF0" w:rsidRDefault="002C0CF0" w:rsidP="00F90613">
      <w:pPr>
        <w:jc w:val="center"/>
        <w:rPr>
          <w:b/>
          <w:bCs/>
          <w:sz w:val="32"/>
          <w:szCs w:val="32"/>
          <w:lang w:val="ca-ES"/>
        </w:rPr>
      </w:pPr>
    </w:p>
    <w:p w14:paraId="3DF7D5EA" w14:textId="77777777" w:rsidR="001679BE" w:rsidRDefault="001679BE" w:rsidP="00F90613">
      <w:pPr>
        <w:jc w:val="center"/>
        <w:rPr>
          <w:b/>
          <w:bCs/>
          <w:sz w:val="32"/>
          <w:szCs w:val="32"/>
          <w:lang w:val="ca-ES"/>
        </w:rPr>
      </w:pPr>
    </w:p>
    <w:p w14:paraId="63F3A229" w14:textId="46FC0342" w:rsidR="00DA3AC9" w:rsidRPr="009B413C" w:rsidRDefault="009B413C" w:rsidP="00F9061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ca-ES"/>
        </w:rPr>
        <w:t>O</w:t>
      </w:r>
      <w:r w:rsidRPr="009B413C">
        <w:rPr>
          <w:b/>
          <w:bCs/>
          <w:sz w:val="32"/>
          <w:szCs w:val="32"/>
          <w:lang w:val="ca-ES"/>
        </w:rPr>
        <w:t>b</w:t>
      </w:r>
      <w:r>
        <w:rPr>
          <w:b/>
          <w:bCs/>
          <w:sz w:val="32"/>
          <w:szCs w:val="32"/>
          <w:lang w:val="ca-ES"/>
        </w:rPr>
        <w:t>erta</w:t>
      </w:r>
      <w:r w:rsidRPr="009B413C">
        <w:rPr>
          <w:b/>
          <w:bCs/>
          <w:sz w:val="32"/>
          <w:szCs w:val="32"/>
          <w:lang w:val="ca-ES"/>
        </w:rPr>
        <w:t xml:space="preserve"> una segona convocatòria per adjudicar 10 habitatges a preu assequible a </w:t>
      </w:r>
      <w:r w:rsidR="00742397">
        <w:rPr>
          <w:b/>
          <w:bCs/>
          <w:sz w:val="32"/>
          <w:szCs w:val="32"/>
          <w:lang w:val="ca-ES"/>
        </w:rPr>
        <w:t xml:space="preserve">l’antic hotel Font de Ferro a </w:t>
      </w:r>
      <w:r w:rsidRPr="009B413C">
        <w:rPr>
          <w:b/>
          <w:bCs/>
          <w:sz w:val="32"/>
          <w:szCs w:val="32"/>
          <w:lang w:val="ca-ES"/>
        </w:rPr>
        <w:t>Aixovall</w:t>
      </w:r>
    </w:p>
    <w:p w14:paraId="72E0CA94" w14:textId="3FDB4DFF" w:rsidR="00F90613" w:rsidRPr="009B413C" w:rsidRDefault="009B413C" w:rsidP="00F90613">
      <w:pPr>
        <w:jc w:val="center"/>
        <w:rPr>
          <w:rFonts w:ascii="Calibri" w:hAnsi="Calibri" w:cs="Calibri"/>
          <w:i/>
          <w:iCs/>
        </w:rPr>
      </w:pPr>
      <w:r w:rsidRPr="009B413C">
        <w:rPr>
          <w:rFonts w:ascii="Calibri" w:hAnsi="Calibri" w:cs="Calibri"/>
          <w:i/>
          <w:iCs/>
          <w:lang w:val="ca-ES"/>
        </w:rPr>
        <w:t>La nova oferta</w:t>
      </w:r>
      <w:r>
        <w:rPr>
          <w:rFonts w:ascii="Calibri" w:hAnsi="Calibri" w:cs="Calibri"/>
          <w:i/>
          <w:iCs/>
          <w:lang w:val="ca-ES"/>
        </w:rPr>
        <w:t xml:space="preserve"> està</w:t>
      </w:r>
      <w:r w:rsidRPr="009B413C">
        <w:rPr>
          <w:rFonts w:ascii="Calibri" w:hAnsi="Calibri" w:cs="Calibri"/>
          <w:i/>
          <w:iCs/>
          <w:lang w:val="ca-ES"/>
        </w:rPr>
        <w:t xml:space="preserve"> adreçada a les persones inscrites al Registre de sol·licitants</w:t>
      </w:r>
      <w:r>
        <w:rPr>
          <w:rFonts w:ascii="Calibri" w:hAnsi="Calibri" w:cs="Calibri"/>
          <w:i/>
          <w:iCs/>
          <w:lang w:val="ca-ES"/>
        </w:rPr>
        <w:t xml:space="preserve"> fins al 5 d’octubre d’enguany</w:t>
      </w:r>
    </w:p>
    <w:p w14:paraId="261A3D2B" w14:textId="77777777" w:rsidR="002C0CF0" w:rsidRPr="002C0CF0" w:rsidRDefault="002C0CF0" w:rsidP="00F90613">
      <w:pPr>
        <w:jc w:val="center"/>
        <w:rPr>
          <w:rFonts w:ascii="Calibri" w:hAnsi="Calibri" w:cs="Calibri"/>
          <w:i/>
          <w:iCs/>
          <w:lang w:val="ca-ES"/>
        </w:rPr>
      </w:pPr>
    </w:p>
    <w:p w14:paraId="34ACD4EA" w14:textId="0A72163E" w:rsidR="009B413C" w:rsidRPr="009B413C" w:rsidRDefault="00F82719" w:rsidP="009B413C">
      <w:pPr>
        <w:jc w:val="both"/>
        <w:rPr>
          <w:lang w:val="ca-ES"/>
        </w:rPr>
      </w:pPr>
      <w:r w:rsidRPr="00C61BE5">
        <w:rPr>
          <w:rFonts w:ascii="Calibri" w:hAnsi="Calibri" w:cs="Calibri"/>
          <w:i/>
          <w:iCs/>
          <w:lang w:val="ca-ES"/>
        </w:rPr>
        <w:t xml:space="preserve">Andorra la Vella, </w:t>
      </w:r>
      <w:r w:rsidR="009B413C">
        <w:rPr>
          <w:rFonts w:ascii="Calibri" w:hAnsi="Calibri" w:cs="Calibri"/>
          <w:i/>
          <w:iCs/>
          <w:lang w:val="ca-ES"/>
        </w:rPr>
        <w:t>7</w:t>
      </w:r>
      <w:r w:rsidR="008D44D6" w:rsidRPr="00C61BE5">
        <w:rPr>
          <w:rFonts w:ascii="Calibri" w:hAnsi="Calibri" w:cs="Calibri"/>
          <w:i/>
          <w:iCs/>
          <w:lang w:val="ca-ES"/>
        </w:rPr>
        <w:t xml:space="preserve"> d</w:t>
      </w:r>
      <w:r w:rsidR="009B413C">
        <w:rPr>
          <w:rFonts w:ascii="Calibri" w:hAnsi="Calibri" w:cs="Calibri"/>
          <w:i/>
          <w:iCs/>
          <w:lang w:val="ca-ES"/>
        </w:rPr>
        <w:t>’octubre</w:t>
      </w:r>
      <w:r w:rsidRPr="00C61BE5">
        <w:rPr>
          <w:rFonts w:ascii="Calibri" w:hAnsi="Calibri" w:cs="Calibri"/>
          <w:i/>
          <w:iCs/>
          <w:lang w:val="ca-ES"/>
        </w:rPr>
        <w:t xml:space="preserve"> de 202</w:t>
      </w:r>
      <w:r w:rsidR="00C92C8B" w:rsidRPr="00C61BE5">
        <w:rPr>
          <w:rFonts w:ascii="Calibri" w:hAnsi="Calibri" w:cs="Calibri"/>
          <w:i/>
          <w:iCs/>
          <w:lang w:val="ca-ES"/>
        </w:rPr>
        <w:t>6</w:t>
      </w:r>
      <w:r w:rsidRPr="009B413C">
        <w:rPr>
          <w:i/>
          <w:iCs/>
          <w:lang w:val="ca-ES"/>
        </w:rPr>
        <w:t>.-</w:t>
      </w:r>
      <w:r w:rsidR="00622E16" w:rsidRPr="009B413C">
        <w:rPr>
          <w:i/>
          <w:iCs/>
          <w:lang w:val="ca-ES"/>
        </w:rPr>
        <w:t xml:space="preserve"> </w:t>
      </w:r>
      <w:r w:rsidR="009B413C" w:rsidRPr="009B413C">
        <w:rPr>
          <w:lang w:val="ca-ES"/>
        </w:rPr>
        <w:t>L’Institut Nacional de l’Habitatge (INH) ha aprovat una segona oferta pública d’habitatge a preu assequible a l’</w:t>
      </w:r>
      <w:r w:rsidR="00742397">
        <w:rPr>
          <w:lang w:val="ca-ES"/>
        </w:rPr>
        <w:t xml:space="preserve">antic hotel Font de Ferro </w:t>
      </w:r>
      <w:r w:rsidR="009B413C" w:rsidRPr="009B413C">
        <w:rPr>
          <w:lang w:val="ca-ES"/>
        </w:rPr>
        <w:t xml:space="preserve">situat a la carretera General 1 d’Aixovall, a Sant Julià de Lòria. La convocatòria permetrà adjudicar les unitats </w:t>
      </w:r>
      <w:r w:rsidR="009B413C">
        <w:rPr>
          <w:lang w:val="ca-ES"/>
        </w:rPr>
        <w:t xml:space="preserve">han </w:t>
      </w:r>
      <w:r w:rsidR="009B413C" w:rsidRPr="009B413C">
        <w:rPr>
          <w:lang w:val="ca-ES"/>
        </w:rPr>
        <w:t>queda</w:t>
      </w:r>
      <w:r w:rsidR="009B413C">
        <w:rPr>
          <w:lang w:val="ca-ES"/>
        </w:rPr>
        <w:t>t</w:t>
      </w:r>
      <w:r w:rsidR="009B413C" w:rsidRPr="009B413C">
        <w:rPr>
          <w:lang w:val="ca-ES"/>
        </w:rPr>
        <w:t xml:space="preserve"> disponibles en el primer procés d’adjudicació.</w:t>
      </w:r>
    </w:p>
    <w:p w14:paraId="393CE45B" w14:textId="638C08A5" w:rsidR="009B413C" w:rsidRP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t xml:space="preserve">En total, l’oferta inclou 10 habitatges, un dels quals és un habitatge adaptat d’un dormitori, mentre que els nou restants disposen de dos dormitoris. </w:t>
      </w:r>
      <w:r>
        <w:rPr>
          <w:lang w:val="ca-ES"/>
        </w:rPr>
        <w:t>Les superfícies oscil·len</w:t>
      </w:r>
      <w:r w:rsidRPr="009B413C">
        <w:rPr>
          <w:lang w:val="ca-ES"/>
        </w:rPr>
        <w:t xml:space="preserve"> entre 45,56 i 67,16 metres quadrats de superfície construïda</w:t>
      </w:r>
      <w:r>
        <w:rPr>
          <w:lang w:val="ca-ES"/>
        </w:rPr>
        <w:t xml:space="preserve"> mentre que el preu s’estableix en un barem entre </w:t>
      </w:r>
      <w:r w:rsidRPr="009B413C">
        <w:rPr>
          <w:lang w:val="ca-ES"/>
        </w:rPr>
        <w:t xml:space="preserve">els 435,55 i els 642,05 euros mensuals, en funció de les característiques i la superfície de cada habitatge. </w:t>
      </w:r>
      <w:r>
        <w:rPr>
          <w:lang w:val="ca-ES"/>
        </w:rPr>
        <w:t>Ara bé, l</w:t>
      </w:r>
      <w:r w:rsidRPr="009B413C">
        <w:rPr>
          <w:lang w:val="ca-ES"/>
        </w:rPr>
        <w:t>a renda final que haurà d’assumir cada unitat de convivència es determina</w:t>
      </w:r>
      <w:r>
        <w:rPr>
          <w:lang w:val="ca-ES"/>
        </w:rPr>
        <w:t>rà</w:t>
      </w:r>
      <w:r w:rsidRPr="009B413C">
        <w:rPr>
          <w:lang w:val="ca-ES"/>
        </w:rPr>
        <w:t xml:space="preserve"> tenint en compte tant el preu assequible inicial com la seva capacitat econòmica.</w:t>
      </w:r>
    </w:p>
    <w:p w14:paraId="7011595D" w14:textId="1B70BDD2" w:rsidR="009B413C" w:rsidRP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t>La convocatòria està adreçada a les persones que const</w:t>
      </w:r>
      <w:r>
        <w:rPr>
          <w:lang w:val="ca-ES"/>
        </w:rPr>
        <w:t>en</w:t>
      </w:r>
      <w:r w:rsidRPr="009B413C">
        <w:rPr>
          <w:lang w:val="ca-ES"/>
        </w:rPr>
        <w:t xml:space="preserve"> inscrites al Registre de sol·licitants d’habitatges de preu assequible fins al 5 d’octubre de 2026 i que </w:t>
      </w:r>
      <w:r>
        <w:rPr>
          <w:lang w:val="ca-ES"/>
        </w:rPr>
        <w:t xml:space="preserve">a més, </w:t>
      </w:r>
      <w:r w:rsidRPr="009B413C">
        <w:rPr>
          <w:lang w:val="ca-ES"/>
        </w:rPr>
        <w:t xml:space="preserve">compleixen els requisits establerts en el procediment d’adjudicació. En aquest cas, hi participen 13 persones o unitats de convivència </w:t>
      </w:r>
      <w:r>
        <w:rPr>
          <w:lang w:val="ca-ES"/>
        </w:rPr>
        <w:t xml:space="preserve">ja </w:t>
      </w:r>
      <w:r w:rsidRPr="009B413C">
        <w:rPr>
          <w:lang w:val="ca-ES"/>
        </w:rPr>
        <w:t>preseleccionades.</w:t>
      </w:r>
    </w:p>
    <w:p w14:paraId="649E2A9C" w14:textId="48247818" w:rsidR="009B413C" w:rsidRP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t xml:space="preserve">El període de concurrència s’obre </w:t>
      </w:r>
      <w:r>
        <w:rPr>
          <w:lang w:val="ca-ES"/>
        </w:rPr>
        <w:t>avui</w:t>
      </w:r>
      <w:r w:rsidRPr="009B413C">
        <w:rPr>
          <w:lang w:val="ca-ES"/>
        </w:rPr>
        <w:t xml:space="preserve"> i es mantindrà </w:t>
      </w:r>
      <w:r>
        <w:rPr>
          <w:lang w:val="ca-ES"/>
        </w:rPr>
        <w:t xml:space="preserve">obert </w:t>
      </w:r>
      <w:r w:rsidRPr="009B413C">
        <w:rPr>
          <w:lang w:val="ca-ES"/>
        </w:rPr>
        <w:t>fins al 22 d’octubre de 2026. Durant aquest període, les persones que han manifestat la voluntat de participar en el procés i que, d’acord amb la composició de la seva llar i la tipologia dels habitatges disponibles, no han estat preseleccionades poden presentar les al·legacions corresponents dins del termini establert.</w:t>
      </w:r>
    </w:p>
    <w:p w14:paraId="020C3A47" w14:textId="77777777" w:rsid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t>Els habitatges es troben en un edifici que ha estat objecte d’una reforma integral i que es lliurarà pintat de nou i sense mobiliari. Les cuines estan equipades amb vitroceràmica, forn i campana extractora.</w:t>
      </w:r>
      <w:r>
        <w:rPr>
          <w:lang w:val="ca-ES"/>
        </w:rPr>
        <w:t xml:space="preserve"> </w:t>
      </w:r>
      <w:r w:rsidRPr="009B413C">
        <w:rPr>
          <w:lang w:val="ca-ES"/>
        </w:rPr>
        <w:t xml:space="preserve">L’edifici no disposa encara d’ascensor, però actualment se n’està fent la instal·lació. </w:t>
      </w:r>
    </w:p>
    <w:p w14:paraId="5348DDD5" w14:textId="2D731C9B" w:rsidR="009B413C" w:rsidRP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t>A més, la parcel·la disposa d’una plaça d’aparcament adaptada per a persones amb mobilitat reduïda, que podrà ser destinada, si escau, a la persona adjudicatària de l’habitatge adaptat. La cessió d’aquesta plaça té un preu de 56,30 euros mensuals, revisable anualment d’acord amb l’evolució de l’índex de preus de consum.</w:t>
      </w:r>
    </w:p>
    <w:p w14:paraId="11095F10" w14:textId="77777777" w:rsidR="009B413C" w:rsidRP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t>El sistema de preu assequible té en compte la capacitat econòmica de les unitats de convivència. Així, quan el 30% dels seus ingressos és superior al preu assequible inicial, la renda s’incrementa fins a aquest import, amb el límit del preu de mercat menys un 25%.</w:t>
      </w:r>
    </w:p>
    <w:p w14:paraId="2F909AA4" w14:textId="77777777" w:rsidR="009B413C" w:rsidRPr="009B413C" w:rsidRDefault="009B413C" w:rsidP="009B413C">
      <w:pPr>
        <w:jc w:val="both"/>
        <w:rPr>
          <w:lang w:val="ca-ES"/>
        </w:rPr>
      </w:pPr>
      <w:r w:rsidRPr="009B413C">
        <w:rPr>
          <w:lang w:val="ca-ES"/>
        </w:rPr>
        <w:lastRenderedPageBreak/>
        <w:t>En els casos en què el preu assequible inicial sigui superior al 30% dels ingressos de la unitat de convivència, les persones adjudicatàries poden sol·licitar, sempre que compleixin els requisits establerts, un ajut per a l’habitatge de lloguer. Aquest ajut cobreix la diferència entre el 30% dels ingressos de la unitat de convivència i el preu assequible establert per a l’habitatge.</w:t>
      </w:r>
    </w:p>
    <w:p w14:paraId="25784B80" w14:textId="04EACB62" w:rsidR="00165C7D" w:rsidRPr="009B413C" w:rsidRDefault="00165C7D" w:rsidP="009B413C">
      <w:pPr>
        <w:jc w:val="both"/>
        <w:rPr>
          <w:sz w:val="24"/>
          <w:szCs w:val="24"/>
          <w:lang w:val="ca-ES"/>
        </w:rPr>
      </w:pPr>
    </w:p>
    <w:p w14:paraId="10FBDE9F" w14:textId="497014C2" w:rsidR="00382EEE" w:rsidRPr="009B413C" w:rsidRDefault="00382EEE" w:rsidP="00382EEE">
      <w:pPr>
        <w:jc w:val="both"/>
        <w:rPr>
          <w:rFonts w:eastAsia="Arial Unicode MS" w:cstheme="minorHAnsi"/>
          <w:b/>
          <w:color w:val="808080" w:themeColor="background1" w:themeShade="80"/>
          <w:sz w:val="20"/>
          <w:szCs w:val="20"/>
          <w:lang w:val="ca-ES"/>
        </w:rPr>
      </w:pPr>
      <w:r w:rsidRPr="009B413C">
        <w:rPr>
          <w:noProof/>
          <w:color w:val="808080" w:themeColor="background1" w:themeShade="80"/>
          <w:sz w:val="24"/>
          <w:szCs w:val="24"/>
          <w:lang w:val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4170C3" wp14:editId="0086F766">
                <wp:simplePos x="0" y="0"/>
                <wp:positionH relativeFrom="column">
                  <wp:posOffset>-32385</wp:posOffset>
                </wp:positionH>
                <wp:positionV relativeFrom="paragraph">
                  <wp:posOffset>57150</wp:posOffset>
                </wp:positionV>
                <wp:extent cx="5842000" cy="12700"/>
                <wp:effectExtent l="0" t="0" r="25400" b="25400"/>
                <wp:wrapNone/>
                <wp:docPr id="86220995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0" cy="12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0980E" id="Conector rec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4.5pt" to="457.4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" strokecolor="#7f7f7f [1612]" strokeweight=".5pt">
                <v:stroke joinstyle="miter"/>
              </v:line>
            </w:pict>
          </mc:Fallback>
        </mc:AlternateContent>
      </w:r>
    </w:p>
    <w:p w14:paraId="6FE3AD18" w14:textId="085F41E8" w:rsidR="00382EEE" w:rsidRPr="009B413C" w:rsidRDefault="00E01C87" w:rsidP="00382EEE">
      <w:pPr>
        <w:jc w:val="both"/>
        <w:rPr>
          <w:color w:val="808080" w:themeColor="background1" w:themeShade="80"/>
          <w:sz w:val="24"/>
          <w:szCs w:val="24"/>
          <w:lang w:val="ca-ES"/>
        </w:rPr>
      </w:pPr>
      <w:r w:rsidRPr="009B413C">
        <w:rPr>
          <w:rFonts w:eastAsia="Arial Unicode MS" w:cstheme="minorHAnsi"/>
          <w:b/>
          <w:color w:val="808080" w:themeColor="background1" w:themeShade="80"/>
          <w:sz w:val="20"/>
          <w:szCs w:val="20"/>
          <w:lang w:val="ca-ES"/>
        </w:rPr>
        <w:t xml:space="preserve">Per a més informació: </w:t>
      </w:r>
    </w:p>
    <w:p w14:paraId="270846B8" w14:textId="68BC4E11" w:rsidR="00382EEE" w:rsidRPr="009B413C" w:rsidRDefault="00E01C87" w:rsidP="00382EEE">
      <w:pPr>
        <w:pStyle w:val="pv-entitydescription"/>
        <w:shd w:val="clear" w:color="auto" w:fill="FFFFFF"/>
        <w:spacing w:before="0" w:beforeAutospacing="0" w:line="240" w:lineRule="atLeast"/>
        <w:jc w:val="both"/>
        <w:textAlignment w:val="baseline"/>
        <w:rPr>
          <w:rFonts w:asciiTheme="minorHAnsi" w:eastAsia="Arial Unicode MS" w:hAnsiTheme="minorHAnsi" w:cstheme="minorHAnsi"/>
          <w:b/>
          <w:color w:val="808080" w:themeColor="background1" w:themeShade="80"/>
          <w:sz w:val="20"/>
          <w:szCs w:val="20"/>
        </w:rPr>
      </w:pPr>
      <w:r w:rsidRPr="009B413C">
        <w:rPr>
          <w:rFonts w:cstheme="minorHAnsi"/>
          <w:color w:val="808080" w:themeColor="background1" w:themeShade="80"/>
          <w:sz w:val="20"/>
          <w:szCs w:val="20"/>
        </w:rPr>
        <w:t>PAMPLIEGA&amp;ASSOCIATS</w:t>
      </w:r>
    </w:p>
    <w:p w14:paraId="30B3A386" w14:textId="035A0424" w:rsidR="00382EEE" w:rsidRPr="009B413C" w:rsidRDefault="00E01C87" w:rsidP="0033208B">
      <w:pPr>
        <w:spacing w:after="0" w:line="240" w:lineRule="atLeast"/>
        <w:rPr>
          <w:sz w:val="24"/>
          <w:szCs w:val="24"/>
          <w:lang w:val="ca-ES"/>
        </w:rPr>
      </w:pPr>
      <w:r w:rsidRPr="009B413C">
        <w:rPr>
          <w:rFonts w:cstheme="minorHAnsi"/>
          <w:color w:val="808080" w:themeColor="background1" w:themeShade="80"/>
          <w:sz w:val="20"/>
          <w:szCs w:val="20"/>
          <w:lang w:val="ca-ES"/>
        </w:rPr>
        <w:t xml:space="preserve">Tel. </w:t>
      </w:r>
      <w:r w:rsidR="007C2DF3" w:rsidRPr="009B413C">
        <w:rPr>
          <w:rFonts w:cstheme="minorHAnsi"/>
          <w:color w:val="808080" w:themeColor="background1" w:themeShade="80"/>
          <w:sz w:val="20"/>
          <w:szCs w:val="20"/>
          <w:lang w:val="ca-ES"/>
        </w:rPr>
        <w:t>+</w:t>
      </w:r>
      <w:r w:rsidRPr="009B413C">
        <w:rPr>
          <w:rFonts w:cstheme="minorHAnsi"/>
          <w:color w:val="808080" w:themeColor="background1" w:themeShade="80"/>
          <w:sz w:val="20"/>
          <w:szCs w:val="20"/>
          <w:lang w:val="ca-ES"/>
        </w:rPr>
        <w:t>376</w:t>
      </w:r>
      <w:r w:rsidR="00BB220D" w:rsidRPr="009B413C">
        <w:rPr>
          <w:rFonts w:cstheme="minorHAnsi"/>
          <w:color w:val="808080" w:themeColor="background1" w:themeShade="80"/>
          <w:sz w:val="20"/>
          <w:szCs w:val="20"/>
          <w:lang w:val="ca-ES"/>
        </w:rPr>
        <w:t xml:space="preserve"> </w:t>
      </w:r>
      <w:r w:rsidRPr="009B413C">
        <w:rPr>
          <w:rFonts w:cstheme="minorHAnsi"/>
          <w:color w:val="808080" w:themeColor="background1" w:themeShade="80"/>
          <w:sz w:val="20"/>
          <w:szCs w:val="20"/>
          <w:lang w:val="ca-ES"/>
        </w:rPr>
        <w:t xml:space="preserve">759 044 </w:t>
      </w:r>
    </w:p>
    <w:sectPr w:rsidR="00382EEE" w:rsidRPr="009B413C" w:rsidSect="009B413C">
      <w:headerReference w:type="default" r:id="rId7"/>
      <w:footerReference w:type="default" r:id="rId8"/>
      <w:headerReference w:type="first" r:id="rId9"/>
      <w:pgSz w:w="11906" w:h="16838"/>
      <w:pgMar w:top="1276" w:right="1701" w:bottom="1276" w:left="1701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E49A3" w14:textId="77777777" w:rsidR="00EA7B63" w:rsidRDefault="00EA7B63" w:rsidP="006420A9">
      <w:pPr>
        <w:spacing w:after="0" w:line="240" w:lineRule="auto"/>
      </w:pPr>
      <w:r>
        <w:separator/>
      </w:r>
    </w:p>
  </w:endnote>
  <w:endnote w:type="continuationSeparator" w:id="0">
    <w:p w14:paraId="36CE3EEE" w14:textId="77777777" w:rsidR="00EA7B63" w:rsidRDefault="00EA7B63" w:rsidP="00642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84B7" w14:textId="77777777" w:rsidR="00861ED5" w:rsidRDefault="00861ED5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  <w:lang w:val="ca-ES"/>
      </w:rPr>
      <w:t>2</w:t>
    </w:r>
    <w:r>
      <w:rPr>
        <w:caps/>
        <w:color w:val="4472C4" w:themeColor="accent1"/>
      </w:rPr>
      <w:fldChar w:fldCharType="end"/>
    </w:r>
  </w:p>
  <w:p w14:paraId="59636F2D" w14:textId="77777777" w:rsidR="00861ED5" w:rsidRDefault="00861E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644F1" w14:textId="77777777" w:rsidR="00EA7B63" w:rsidRDefault="00EA7B63" w:rsidP="006420A9">
      <w:pPr>
        <w:spacing w:after="0" w:line="240" w:lineRule="auto"/>
      </w:pPr>
      <w:r>
        <w:separator/>
      </w:r>
    </w:p>
  </w:footnote>
  <w:footnote w:type="continuationSeparator" w:id="0">
    <w:p w14:paraId="0DE9DF8E" w14:textId="77777777" w:rsidR="00EA7B63" w:rsidRDefault="00EA7B63" w:rsidP="00642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17D8E" w14:textId="6811F5AB" w:rsidR="006420A9" w:rsidRDefault="006420A9" w:rsidP="006420A9">
    <w:pPr>
      <w:pStyle w:val="Encabezado"/>
      <w:jc w:val="center"/>
    </w:pPr>
  </w:p>
  <w:p w14:paraId="603E8976" w14:textId="77777777" w:rsidR="006420A9" w:rsidRDefault="006420A9" w:rsidP="006420A9">
    <w:pPr>
      <w:pStyle w:val="Encabezado"/>
      <w:jc w:val="center"/>
    </w:pPr>
  </w:p>
  <w:p w14:paraId="740C43A0" w14:textId="7C37A000" w:rsidR="006420A9" w:rsidRDefault="004749B2" w:rsidP="00931FD8">
    <w:pPr>
      <w:pStyle w:val="Encabezado"/>
      <w:tabs>
        <w:tab w:val="left" w:pos="33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8582" w14:textId="2F11CDD1" w:rsidR="005B6353" w:rsidRDefault="005B635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20EA5E" wp14:editId="0C0B35BE">
          <wp:simplePos x="0" y="0"/>
          <wp:positionH relativeFrom="column">
            <wp:posOffset>1821815</wp:posOffset>
          </wp:positionH>
          <wp:positionV relativeFrom="paragraph">
            <wp:posOffset>120015</wp:posOffset>
          </wp:positionV>
          <wp:extent cx="1487805" cy="664210"/>
          <wp:effectExtent l="0" t="0" r="0" b="2540"/>
          <wp:wrapTight wrapText="bothSides">
            <wp:wrapPolygon edited="0">
              <wp:start x="0" y="0"/>
              <wp:lineTo x="0" y="21063"/>
              <wp:lineTo x="21296" y="21063"/>
              <wp:lineTo x="21296" y="0"/>
              <wp:lineTo x="0" y="0"/>
            </wp:wrapPolygon>
          </wp:wrapTight>
          <wp:docPr id="158092252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45154"/>
    <w:multiLevelType w:val="hybridMultilevel"/>
    <w:tmpl w:val="A6104002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A0238"/>
    <w:multiLevelType w:val="hybridMultilevel"/>
    <w:tmpl w:val="672C93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E58BD"/>
    <w:multiLevelType w:val="hybridMultilevel"/>
    <w:tmpl w:val="894CC3AE"/>
    <w:lvl w:ilvl="0" w:tplc="0C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6F833F8E"/>
    <w:multiLevelType w:val="hybridMultilevel"/>
    <w:tmpl w:val="BCCC8C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442627">
    <w:abstractNumId w:val="2"/>
  </w:num>
  <w:num w:numId="2" w16cid:durableId="259025453">
    <w:abstractNumId w:val="3"/>
  </w:num>
  <w:num w:numId="3" w16cid:durableId="2122913423">
    <w:abstractNumId w:val="1"/>
  </w:num>
  <w:num w:numId="4" w16cid:durableId="34783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A9"/>
    <w:rsid w:val="0000159D"/>
    <w:rsid w:val="0000197A"/>
    <w:rsid w:val="0000591E"/>
    <w:rsid w:val="00011DEC"/>
    <w:rsid w:val="000236E4"/>
    <w:rsid w:val="00032B06"/>
    <w:rsid w:val="00036C35"/>
    <w:rsid w:val="000B17D0"/>
    <w:rsid w:val="000D68FF"/>
    <w:rsid w:val="00100BDA"/>
    <w:rsid w:val="00117C8D"/>
    <w:rsid w:val="00127FBF"/>
    <w:rsid w:val="00130C7C"/>
    <w:rsid w:val="001501F2"/>
    <w:rsid w:val="00162125"/>
    <w:rsid w:val="00165C7D"/>
    <w:rsid w:val="001679BE"/>
    <w:rsid w:val="00167CBC"/>
    <w:rsid w:val="001849DF"/>
    <w:rsid w:val="001859A5"/>
    <w:rsid w:val="00193470"/>
    <w:rsid w:val="001C3CAA"/>
    <w:rsid w:val="00226EB7"/>
    <w:rsid w:val="00266794"/>
    <w:rsid w:val="00280E30"/>
    <w:rsid w:val="002A67ED"/>
    <w:rsid w:val="002B2B86"/>
    <w:rsid w:val="002B31F3"/>
    <w:rsid w:val="002C0CF0"/>
    <w:rsid w:val="002C4329"/>
    <w:rsid w:val="0033208B"/>
    <w:rsid w:val="0033533B"/>
    <w:rsid w:val="00382EEE"/>
    <w:rsid w:val="003975DE"/>
    <w:rsid w:val="003A1F1F"/>
    <w:rsid w:val="003C35AE"/>
    <w:rsid w:val="003C7593"/>
    <w:rsid w:val="003D4AFB"/>
    <w:rsid w:val="003D7A59"/>
    <w:rsid w:val="004029A2"/>
    <w:rsid w:val="00411092"/>
    <w:rsid w:val="00446B52"/>
    <w:rsid w:val="00461E05"/>
    <w:rsid w:val="004652E2"/>
    <w:rsid w:val="004749B2"/>
    <w:rsid w:val="00485243"/>
    <w:rsid w:val="004919F0"/>
    <w:rsid w:val="0049477A"/>
    <w:rsid w:val="004C4BD0"/>
    <w:rsid w:val="004D2A64"/>
    <w:rsid w:val="004D2E23"/>
    <w:rsid w:val="004D5E26"/>
    <w:rsid w:val="004E1E0A"/>
    <w:rsid w:val="00515935"/>
    <w:rsid w:val="00523D3B"/>
    <w:rsid w:val="0053232B"/>
    <w:rsid w:val="005604D5"/>
    <w:rsid w:val="00573DDF"/>
    <w:rsid w:val="005A242A"/>
    <w:rsid w:val="005A3E77"/>
    <w:rsid w:val="005A7443"/>
    <w:rsid w:val="005B6353"/>
    <w:rsid w:val="005C3FEF"/>
    <w:rsid w:val="005F2C43"/>
    <w:rsid w:val="005F4737"/>
    <w:rsid w:val="006052CF"/>
    <w:rsid w:val="00615AF9"/>
    <w:rsid w:val="00622E16"/>
    <w:rsid w:val="0062588C"/>
    <w:rsid w:val="006269D4"/>
    <w:rsid w:val="0063269E"/>
    <w:rsid w:val="006420A9"/>
    <w:rsid w:val="006532F8"/>
    <w:rsid w:val="00654401"/>
    <w:rsid w:val="00660E36"/>
    <w:rsid w:val="00664C54"/>
    <w:rsid w:val="00672EFB"/>
    <w:rsid w:val="006965D7"/>
    <w:rsid w:val="006A7F8E"/>
    <w:rsid w:val="006B57D7"/>
    <w:rsid w:val="006B6C04"/>
    <w:rsid w:val="006C083A"/>
    <w:rsid w:val="006C7D13"/>
    <w:rsid w:val="006D4232"/>
    <w:rsid w:val="006D429B"/>
    <w:rsid w:val="006E5A0B"/>
    <w:rsid w:val="006E723D"/>
    <w:rsid w:val="00702903"/>
    <w:rsid w:val="007051A7"/>
    <w:rsid w:val="0071453A"/>
    <w:rsid w:val="0071694B"/>
    <w:rsid w:val="00724B0E"/>
    <w:rsid w:val="007336E0"/>
    <w:rsid w:val="0073680E"/>
    <w:rsid w:val="00742397"/>
    <w:rsid w:val="00751162"/>
    <w:rsid w:val="00752E76"/>
    <w:rsid w:val="00755065"/>
    <w:rsid w:val="00763953"/>
    <w:rsid w:val="00763A16"/>
    <w:rsid w:val="007650BF"/>
    <w:rsid w:val="00765B45"/>
    <w:rsid w:val="00766828"/>
    <w:rsid w:val="0078578B"/>
    <w:rsid w:val="007C2CF0"/>
    <w:rsid w:val="007C2DF3"/>
    <w:rsid w:val="007E105B"/>
    <w:rsid w:val="00861ED5"/>
    <w:rsid w:val="00880904"/>
    <w:rsid w:val="00882E74"/>
    <w:rsid w:val="00886306"/>
    <w:rsid w:val="008B3997"/>
    <w:rsid w:val="008C0523"/>
    <w:rsid w:val="008D44D6"/>
    <w:rsid w:val="008E272B"/>
    <w:rsid w:val="008E4957"/>
    <w:rsid w:val="00901A62"/>
    <w:rsid w:val="00905B96"/>
    <w:rsid w:val="009117F8"/>
    <w:rsid w:val="00913E22"/>
    <w:rsid w:val="009155DC"/>
    <w:rsid w:val="00922F30"/>
    <w:rsid w:val="00931FD8"/>
    <w:rsid w:val="009427C7"/>
    <w:rsid w:val="00953851"/>
    <w:rsid w:val="009911AC"/>
    <w:rsid w:val="0099748B"/>
    <w:rsid w:val="009A6C8B"/>
    <w:rsid w:val="009B413C"/>
    <w:rsid w:val="009B5239"/>
    <w:rsid w:val="009C0E65"/>
    <w:rsid w:val="009C70FF"/>
    <w:rsid w:val="009E370D"/>
    <w:rsid w:val="009F4ADD"/>
    <w:rsid w:val="00A07A36"/>
    <w:rsid w:val="00A22978"/>
    <w:rsid w:val="00A55281"/>
    <w:rsid w:val="00A55FC6"/>
    <w:rsid w:val="00A72548"/>
    <w:rsid w:val="00A902EA"/>
    <w:rsid w:val="00A96048"/>
    <w:rsid w:val="00AA1AD0"/>
    <w:rsid w:val="00AB0540"/>
    <w:rsid w:val="00AC31B5"/>
    <w:rsid w:val="00AE0490"/>
    <w:rsid w:val="00AF5F4C"/>
    <w:rsid w:val="00B2636D"/>
    <w:rsid w:val="00B30CAA"/>
    <w:rsid w:val="00B30DA9"/>
    <w:rsid w:val="00B31968"/>
    <w:rsid w:val="00B31AED"/>
    <w:rsid w:val="00B42EAB"/>
    <w:rsid w:val="00B74A4B"/>
    <w:rsid w:val="00B76671"/>
    <w:rsid w:val="00B927D4"/>
    <w:rsid w:val="00BA4672"/>
    <w:rsid w:val="00BB220D"/>
    <w:rsid w:val="00BF1170"/>
    <w:rsid w:val="00BF4A81"/>
    <w:rsid w:val="00BF65DE"/>
    <w:rsid w:val="00C02C85"/>
    <w:rsid w:val="00C03168"/>
    <w:rsid w:val="00C34B88"/>
    <w:rsid w:val="00C42BF6"/>
    <w:rsid w:val="00C61BE5"/>
    <w:rsid w:val="00C81F93"/>
    <w:rsid w:val="00C92C8B"/>
    <w:rsid w:val="00C94CFD"/>
    <w:rsid w:val="00CB427D"/>
    <w:rsid w:val="00CC3D11"/>
    <w:rsid w:val="00CF09F1"/>
    <w:rsid w:val="00CF131D"/>
    <w:rsid w:val="00CF2446"/>
    <w:rsid w:val="00CF427A"/>
    <w:rsid w:val="00CF7F9E"/>
    <w:rsid w:val="00D06243"/>
    <w:rsid w:val="00D21500"/>
    <w:rsid w:val="00D25DDB"/>
    <w:rsid w:val="00D311D2"/>
    <w:rsid w:val="00D54B59"/>
    <w:rsid w:val="00D60B1A"/>
    <w:rsid w:val="00D6323A"/>
    <w:rsid w:val="00D641A5"/>
    <w:rsid w:val="00D818DF"/>
    <w:rsid w:val="00D855A0"/>
    <w:rsid w:val="00D90FB8"/>
    <w:rsid w:val="00D97896"/>
    <w:rsid w:val="00DA3AC9"/>
    <w:rsid w:val="00DA42AE"/>
    <w:rsid w:val="00DB1F13"/>
    <w:rsid w:val="00DE69B6"/>
    <w:rsid w:val="00DF3A0E"/>
    <w:rsid w:val="00E01C87"/>
    <w:rsid w:val="00E02F77"/>
    <w:rsid w:val="00E07BBD"/>
    <w:rsid w:val="00E13385"/>
    <w:rsid w:val="00E32947"/>
    <w:rsid w:val="00E46EE7"/>
    <w:rsid w:val="00E55A44"/>
    <w:rsid w:val="00E64704"/>
    <w:rsid w:val="00E70BBA"/>
    <w:rsid w:val="00E760E0"/>
    <w:rsid w:val="00EA7B63"/>
    <w:rsid w:val="00EB4439"/>
    <w:rsid w:val="00EC6709"/>
    <w:rsid w:val="00ED2049"/>
    <w:rsid w:val="00ED7DF0"/>
    <w:rsid w:val="00EE6401"/>
    <w:rsid w:val="00EF4452"/>
    <w:rsid w:val="00EF4EA2"/>
    <w:rsid w:val="00F12C72"/>
    <w:rsid w:val="00F51DE1"/>
    <w:rsid w:val="00F57943"/>
    <w:rsid w:val="00F57A8B"/>
    <w:rsid w:val="00F63A1C"/>
    <w:rsid w:val="00F65B43"/>
    <w:rsid w:val="00F66F21"/>
    <w:rsid w:val="00F76A1F"/>
    <w:rsid w:val="00F82719"/>
    <w:rsid w:val="00F90613"/>
    <w:rsid w:val="00FA7160"/>
    <w:rsid w:val="00FB22C8"/>
    <w:rsid w:val="00FB2CAA"/>
    <w:rsid w:val="00FB7103"/>
    <w:rsid w:val="00FC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EC754"/>
  <w15:chartTrackingRefBased/>
  <w15:docId w15:val="{45600A1A-D195-4F82-A020-2E12C086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20A9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42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20A9"/>
  </w:style>
  <w:style w:type="paragraph" w:styleId="Piedepgina">
    <w:name w:val="footer"/>
    <w:basedOn w:val="Normal"/>
    <w:link w:val="PiedepginaCar"/>
    <w:uiPriority w:val="99"/>
    <w:unhideWhenUsed/>
    <w:rsid w:val="006420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20A9"/>
  </w:style>
  <w:style w:type="paragraph" w:styleId="Prrafodelista">
    <w:name w:val="List Paragraph"/>
    <w:basedOn w:val="Normal"/>
    <w:uiPriority w:val="34"/>
    <w:qFormat/>
    <w:rsid w:val="00AE0490"/>
    <w:pPr>
      <w:ind w:left="720"/>
      <w:contextualSpacing/>
    </w:pPr>
  </w:style>
  <w:style w:type="paragraph" w:customStyle="1" w:styleId="pv-entitydescription">
    <w:name w:val="pv-entity__description"/>
    <w:basedOn w:val="Normal"/>
    <w:rsid w:val="00E01C8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val="ca-ES" w:eastAsia="ca-ES"/>
      <w14:ligatures w14:val="none"/>
    </w:rPr>
  </w:style>
  <w:style w:type="paragraph" w:styleId="Revisin">
    <w:name w:val="Revision"/>
    <w:hidden/>
    <w:uiPriority w:val="99"/>
    <w:semiHidden/>
    <w:rsid w:val="006D429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E02F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2F7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2F7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2F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2F7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2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2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Premsa</dc:creator>
  <cp:lastModifiedBy>Office</cp:lastModifiedBy>
  <cp:revision>2</cp:revision>
  <dcterms:created xsi:type="dcterms:W3CDTF">2026-10-07T12:05:00Z</dcterms:created>
  <dcterms:modified xsi:type="dcterms:W3CDTF">2026-10-07T12:05:00Z</dcterms:modified>
</cp:coreProperties>
</file>